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4A6B" w:rsidRDefault="00F14994">
      <w:pPr>
        <w:spacing w:line="440" w:lineRule="exact"/>
        <w:jc w:val="center"/>
        <w:rPr>
          <w:rFonts w:ascii="方正小标宋简体" w:eastAsia="方正小标宋简体"/>
          <w:b/>
          <w:sz w:val="36"/>
          <w:szCs w:val="36"/>
        </w:rPr>
      </w:pPr>
      <w:bookmarkStart w:id="0" w:name="_Hlk100693120"/>
      <w:r>
        <w:rPr>
          <w:rFonts w:ascii="方正小标宋简体" w:eastAsia="方正小标宋简体" w:hint="eastAsia"/>
          <w:b/>
          <w:sz w:val="36"/>
          <w:szCs w:val="36"/>
        </w:rPr>
        <w:t>学院</w:t>
      </w:r>
      <w:r>
        <w:rPr>
          <w:rFonts w:ascii="方正小标宋简体" w:eastAsia="方正小标宋简体"/>
          <w:b/>
          <w:sz w:val="36"/>
          <w:szCs w:val="36"/>
        </w:rPr>
        <w:t>202</w:t>
      </w:r>
      <w:r>
        <w:rPr>
          <w:rFonts w:ascii="方正小标宋简体" w:eastAsia="方正小标宋简体" w:hint="eastAsia"/>
          <w:b/>
          <w:sz w:val="36"/>
          <w:szCs w:val="36"/>
        </w:rPr>
        <w:t>2年预算执行指标分配方案</w:t>
      </w:r>
    </w:p>
    <w:bookmarkEnd w:id="0"/>
    <w:p w:rsidR="00B14A6B" w:rsidRPr="00874434" w:rsidRDefault="00B14A6B">
      <w:pPr>
        <w:spacing w:line="440" w:lineRule="exact"/>
        <w:jc w:val="center"/>
        <w:rPr>
          <w:rFonts w:ascii="方正小标宋简体" w:eastAsia="方正小标宋简体"/>
          <w:b/>
          <w:sz w:val="36"/>
          <w:szCs w:val="36"/>
        </w:rPr>
      </w:pPr>
    </w:p>
    <w:p w:rsidR="00B14A6B" w:rsidRDefault="00F14994" w:rsidP="00BF6DA8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为深化预算管理制度改革，加快建立标准科学、规范透明、约束有力的预算制度，落实省财政厅《关于进一步厉行节约坚持过紧日子的若干举措》(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皖财预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〔2022〕310号)要求，结合各部门预算资金申报情况，自2022年1-3月份，经过“二上二下”征求意见和座谈调研，行财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处完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成学院2022年预算资金分配计划。根据《安徽省司法厅关于2022年度安徽警官职业学院预算的批复》（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皖司函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〔2022〕41号）文件，2022年,学院总收入16197.33万元；预算变动追加公办高职院校学生资助补助经费等359.25万元，学院2022年总收入为16556.58万元。学院2022年预算执行指标分配方案如下：</w:t>
      </w:r>
    </w:p>
    <w:p w:rsidR="00B14A6B" w:rsidRDefault="00F14994" w:rsidP="00BF6DA8">
      <w:pPr>
        <w:spacing w:line="540" w:lineRule="exact"/>
        <w:ind w:firstLineChars="200" w:firstLine="643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一、总体要求</w:t>
      </w:r>
    </w:p>
    <w:p w:rsidR="00B14A6B" w:rsidRDefault="00F14994" w:rsidP="00BF6DA8">
      <w:pPr>
        <w:pStyle w:val="Default"/>
        <w:spacing w:line="540" w:lineRule="exact"/>
        <w:ind w:firstLineChars="200" w:firstLine="640"/>
        <w:jc w:val="both"/>
        <w:rPr>
          <w:rFonts w:ascii="仿宋_GB2312" w:eastAsia="仿宋_GB2312" w:hAnsi="仿宋" w:cs="Times New Roman"/>
          <w:color w:val="auto"/>
          <w:kern w:val="2"/>
          <w:sz w:val="32"/>
          <w:szCs w:val="32"/>
        </w:rPr>
      </w:pPr>
      <w:r>
        <w:rPr>
          <w:rFonts w:ascii="仿宋_GB2312" w:eastAsia="仿宋_GB2312" w:hAnsi="仿宋" w:cs="Times New Roman" w:hint="eastAsia"/>
          <w:color w:val="auto"/>
          <w:kern w:val="2"/>
          <w:sz w:val="32"/>
          <w:szCs w:val="32"/>
        </w:rPr>
        <w:t>依法理财，实施零基预算改革，完善预算管理制度，创新预算管理方式，打破支出固化格局，逐步构建“该保必保、该减必减、讲求绩效”的资金安排机制，围绕院党委、学院重点工作，加快支付进度，勤俭办学，开源节流，开拓进取，增强学院高质量发展保障能力，为建设地方技能型高水平大学做好财务保障、服务保障、资金支持。</w:t>
      </w:r>
    </w:p>
    <w:p w:rsidR="00B14A6B" w:rsidRDefault="00F14994" w:rsidP="00BF6DA8">
      <w:pPr>
        <w:spacing w:line="540" w:lineRule="exact"/>
        <w:ind w:firstLineChars="200" w:firstLine="643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二、分配原则</w:t>
      </w:r>
    </w:p>
    <w:p w:rsidR="00B14A6B" w:rsidRDefault="00F14994" w:rsidP="00BF6DA8">
      <w:pPr>
        <w:spacing w:line="540" w:lineRule="exact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（一）节俭过紧日子原则。</w:t>
      </w:r>
      <w:r>
        <w:rPr>
          <w:rFonts w:ascii="仿宋_GB2312" w:eastAsia="仿宋_GB2312" w:hAnsi="仿宋" w:hint="eastAsia"/>
          <w:sz w:val="32"/>
          <w:szCs w:val="32"/>
        </w:rPr>
        <w:t>深入贯彻中央“八项规定”精神，坚持“过紧日子”，厉行节约办一切事业，严控一般性支出，从严控制“三公”经费，减少行政成本。</w:t>
      </w:r>
    </w:p>
    <w:p w:rsidR="00B14A6B" w:rsidRDefault="00F14994" w:rsidP="00BF6DA8">
      <w:pPr>
        <w:spacing w:line="540" w:lineRule="exact"/>
        <w:ind w:firstLineChars="200"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（二）健全支出预算排序原则。</w:t>
      </w:r>
      <w:r>
        <w:rPr>
          <w:rFonts w:ascii="仿宋_GB2312" w:eastAsia="仿宋_GB2312" w:hAnsi="仿宋" w:hint="eastAsia"/>
          <w:sz w:val="32"/>
          <w:szCs w:val="32"/>
        </w:rPr>
        <w:t>落实财政要求，按以下顺序安排支出：保证“保基本工资、保岗</w:t>
      </w:r>
      <w:r w:rsidR="003F7C87">
        <w:rPr>
          <w:rFonts w:ascii="仿宋_GB2312" w:eastAsia="仿宋_GB2312" w:hAnsi="仿宋" w:hint="eastAsia"/>
          <w:sz w:val="32"/>
          <w:szCs w:val="32"/>
        </w:rPr>
        <w:t>贴</w:t>
      </w:r>
      <w:r>
        <w:rPr>
          <w:rFonts w:ascii="仿宋_GB2312" w:eastAsia="仿宋_GB2312" w:hAnsi="仿宋" w:hint="eastAsia"/>
          <w:sz w:val="32"/>
          <w:szCs w:val="32"/>
        </w:rPr>
        <w:t>课酬、保基本运转”支出目标；</w:t>
      </w:r>
      <w:r w:rsidR="00874434">
        <w:rPr>
          <w:rFonts w:ascii="仿宋_GB2312" w:eastAsia="仿宋_GB2312" w:hAnsi="仿宋" w:hint="eastAsia"/>
          <w:sz w:val="32"/>
          <w:szCs w:val="32"/>
        </w:rPr>
        <w:t>保障增资政策的资金兑现；</w:t>
      </w:r>
      <w:r>
        <w:rPr>
          <w:rFonts w:ascii="仿宋_GB2312" w:eastAsia="仿宋_GB2312" w:hAnsi="仿宋" w:hint="eastAsia"/>
          <w:sz w:val="32"/>
          <w:szCs w:val="32"/>
        </w:rPr>
        <w:t>保障地方高水平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大学建设经费和教学诊断经费；保障各单位</w:t>
      </w:r>
      <w:r w:rsidR="00774B6B">
        <w:rPr>
          <w:rFonts w:ascii="仿宋_GB2312" w:eastAsia="仿宋_GB2312" w:hAnsi="仿宋" w:hint="eastAsia"/>
          <w:sz w:val="32"/>
          <w:szCs w:val="32"/>
        </w:rPr>
        <w:t>（部门）</w:t>
      </w:r>
      <w:r>
        <w:rPr>
          <w:rFonts w:ascii="仿宋_GB2312" w:eastAsia="仿宋_GB2312" w:hAnsi="仿宋" w:hint="eastAsia"/>
          <w:sz w:val="32"/>
          <w:szCs w:val="32"/>
        </w:rPr>
        <w:t>必须的公用经费等一般事业发展支出，必要的教科研支出，压缩办公费、水电费、会议（培训）费、差旅费、交通费、维修费等行政经费；量力而行</w:t>
      </w:r>
      <w:r w:rsidR="00874434">
        <w:rPr>
          <w:rFonts w:ascii="仿宋_GB2312" w:eastAsia="仿宋_GB2312" w:hAnsi="仿宋" w:hint="eastAsia"/>
          <w:sz w:val="32"/>
          <w:szCs w:val="32"/>
        </w:rPr>
        <w:t>地</w:t>
      </w:r>
      <w:r>
        <w:rPr>
          <w:rFonts w:ascii="仿宋_GB2312" w:eastAsia="仿宋_GB2312" w:hAnsi="仿宋" w:hint="eastAsia"/>
          <w:sz w:val="32"/>
          <w:szCs w:val="32"/>
        </w:rPr>
        <w:t>保障其他支出。</w:t>
      </w:r>
    </w:p>
    <w:p w:rsidR="00B14A6B" w:rsidRDefault="00F14994" w:rsidP="00BF6DA8">
      <w:pPr>
        <w:spacing w:line="540" w:lineRule="exact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（三）</w:t>
      </w:r>
      <w:r w:rsidR="00874434">
        <w:rPr>
          <w:rFonts w:ascii="仿宋_GB2312" w:eastAsia="仿宋_GB2312" w:hAnsi="仿宋" w:hint="eastAsia"/>
          <w:b/>
          <w:sz w:val="32"/>
          <w:szCs w:val="32"/>
        </w:rPr>
        <w:t>应分尽分预算</w:t>
      </w:r>
      <w:r>
        <w:rPr>
          <w:rFonts w:ascii="仿宋_GB2312" w:eastAsia="仿宋_GB2312" w:hAnsi="仿宋" w:hint="eastAsia"/>
          <w:b/>
          <w:sz w:val="32"/>
          <w:szCs w:val="32"/>
        </w:rPr>
        <w:t>指标原则。</w:t>
      </w:r>
      <w:r>
        <w:rPr>
          <w:rFonts w:ascii="仿宋_GB2312" w:eastAsia="仿宋_GB2312" w:hAnsi="仿宋" w:hint="eastAsia"/>
          <w:sz w:val="32"/>
          <w:szCs w:val="32"/>
        </w:rPr>
        <w:t>打破预算安排的基数依赖，所有预算支出均以零为基点，以保工资、保运转支出为首要，以院党委、学院重点工作为导向，以当年可用财务为基础，取消资金分配的统筹比例，做到</w:t>
      </w:r>
      <w:r w:rsidRPr="008462B1">
        <w:rPr>
          <w:rFonts w:ascii="仿宋_GB2312" w:eastAsia="仿宋_GB2312" w:hAnsi="仿宋" w:hint="eastAsia"/>
          <w:sz w:val="32"/>
          <w:szCs w:val="32"/>
        </w:rPr>
        <w:t>“应分尽分”，</w:t>
      </w:r>
      <w:r>
        <w:rPr>
          <w:rFonts w:ascii="仿宋_GB2312" w:eastAsia="仿宋_GB2312" w:hAnsi="仿宋" w:hint="eastAsia"/>
          <w:sz w:val="32"/>
          <w:szCs w:val="32"/>
        </w:rPr>
        <w:t>不留统筹资金，最大限度节俭支出，结余资金用于应急事项支出。</w:t>
      </w:r>
      <w:r w:rsidR="008462B1">
        <w:rPr>
          <w:rFonts w:ascii="仿宋_GB2312" w:eastAsia="仿宋_GB2312" w:hAnsi="仿宋" w:hint="eastAsia"/>
          <w:sz w:val="32"/>
          <w:szCs w:val="32"/>
        </w:rPr>
        <w:t>树牢</w:t>
      </w:r>
      <w:r w:rsidR="008462B1" w:rsidRPr="008462B1">
        <w:rPr>
          <w:rFonts w:ascii="仿宋_GB2312" w:eastAsia="仿宋_GB2312" w:hAnsi="仿宋" w:hint="eastAsia"/>
          <w:sz w:val="32"/>
          <w:szCs w:val="32"/>
        </w:rPr>
        <w:t>“</w:t>
      </w:r>
      <w:r w:rsidR="008462B1">
        <w:rPr>
          <w:rFonts w:ascii="仿宋_GB2312" w:eastAsia="仿宋_GB2312" w:hAnsi="仿宋" w:hint="eastAsia"/>
          <w:sz w:val="32"/>
          <w:szCs w:val="32"/>
        </w:rPr>
        <w:t>先谋事、后排钱</w:t>
      </w:r>
      <w:r w:rsidR="008462B1" w:rsidRPr="008462B1">
        <w:rPr>
          <w:rFonts w:ascii="仿宋_GB2312" w:eastAsia="仿宋_GB2312" w:hAnsi="仿宋" w:hint="eastAsia"/>
          <w:sz w:val="32"/>
          <w:szCs w:val="32"/>
        </w:rPr>
        <w:t>”</w:t>
      </w:r>
      <w:r w:rsidR="008462B1">
        <w:rPr>
          <w:rFonts w:ascii="仿宋_GB2312" w:eastAsia="仿宋_GB2312" w:hAnsi="仿宋" w:hint="eastAsia"/>
          <w:sz w:val="32"/>
          <w:szCs w:val="32"/>
        </w:rPr>
        <w:t>理念</w:t>
      </w:r>
      <w:r w:rsidR="008462B1" w:rsidRPr="008462B1">
        <w:rPr>
          <w:rFonts w:ascii="仿宋_GB2312" w:eastAsia="仿宋_GB2312" w:hAnsi="仿宋" w:hint="eastAsia"/>
          <w:sz w:val="32"/>
          <w:szCs w:val="32"/>
        </w:rPr>
        <w:t>，</w:t>
      </w:r>
      <w:r w:rsidR="008462B1">
        <w:rPr>
          <w:rFonts w:ascii="仿宋_GB2312" w:eastAsia="仿宋_GB2312" w:hAnsi="仿宋" w:hint="eastAsia"/>
          <w:sz w:val="32"/>
          <w:szCs w:val="32"/>
        </w:rPr>
        <w:t>对专项业务和项目建设，提前谋划，列入2</w:t>
      </w:r>
      <w:r w:rsidR="008462B1">
        <w:rPr>
          <w:rFonts w:ascii="仿宋_GB2312" w:eastAsia="仿宋_GB2312" w:hAnsi="仿宋"/>
          <w:sz w:val="32"/>
          <w:szCs w:val="32"/>
        </w:rPr>
        <w:t>023</w:t>
      </w:r>
      <w:r w:rsidR="008462B1">
        <w:rPr>
          <w:rFonts w:ascii="仿宋_GB2312" w:eastAsia="仿宋_GB2312" w:hAnsi="仿宋" w:hint="eastAsia"/>
          <w:sz w:val="32"/>
          <w:szCs w:val="32"/>
        </w:rPr>
        <w:t>年预算安排。</w:t>
      </w:r>
    </w:p>
    <w:p w:rsidR="00B14A6B" w:rsidRDefault="00F14994" w:rsidP="00BF6DA8">
      <w:pPr>
        <w:spacing w:line="540" w:lineRule="exact"/>
        <w:ind w:firstLineChars="200"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（四）定员定额分配原则。</w:t>
      </w:r>
      <w:r>
        <w:rPr>
          <w:rFonts w:ascii="仿宋_GB2312" w:eastAsia="仿宋_GB2312" w:hAnsi="仿宋" w:hint="eastAsia"/>
          <w:sz w:val="32"/>
          <w:szCs w:val="32"/>
        </w:rPr>
        <w:t>差旅费、培训费分配标准按各部门在职在编人员2000元/人，校内助学金分配标准按照各系在校学生40元/生，专项用于学生资助，不包含学生活动经费。学生活动经费分解在专用材料费和委托业务费。“办公费1”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依文件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按每月40元/人，“办公费2</w:t>
      </w:r>
      <w:r>
        <w:rPr>
          <w:rFonts w:ascii="仿宋_GB2312" w:eastAsia="仿宋_GB2312" w:hAnsi="仿宋"/>
          <w:sz w:val="32"/>
          <w:szCs w:val="32"/>
        </w:rPr>
        <w:t>”</w:t>
      </w:r>
      <w:r>
        <w:rPr>
          <w:rFonts w:ascii="仿宋_GB2312" w:eastAsia="仿宋_GB2312" w:hAnsi="仿宋" w:hint="eastAsia"/>
          <w:sz w:val="32"/>
          <w:szCs w:val="32"/>
        </w:rPr>
        <w:t>主要包括教学耗材、党建材料及报刊费用等专项办公费。</w:t>
      </w:r>
    </w:p>
    <w:p w:rsidR="00B14A6B" w:rsidRDefault="00F14994" w:rsidP="00BF6DA8">
      <w:pPr>
        <w:spacing w:line="540" w:lineRule="exact"/>
        <w:ind w:firstLineChars="200"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（五）压实归口管理原则。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明确部门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职责，实行“谁承办、谁预算、谁报销”，压实归口管理责任，最大程度优化资源配置，发挥资金效益。“三公”经费支出由办公室归口管理，工资福利支出、劳务费等支出由人事警务处归口管理，助学金、奖学金、困难补助、勤工助学等支出由学生处归口管理，自考、联合办学、干部短训班等支出由培训部归口管理，学生职业大赛、学生实习等支出由实验实训中心归口管理，教工技能大赛、科研经费</w:t>
      </w:r>
      <w:bookmarkStart w:id="1" w:name="_GoBack"/>
      <w:bookmarkEnd w:id="1"/>
      <w:r>
        <w:rPr>
          <w:rFonts w:ascii="仿宋_GB2312" w:eastAsia="仿宋_GB2312" w:hAnsi="仿宋" w:hint="eastAsia"/>
          <w:sz w:val="32"/>
          <w:szCs w:val="32"/>
        </w:rPr>
        <w:t>等支出由教务处归口管理。</w:t>
      </w:r>
    </w:p>
    <w:p w:rsidR="00B14A6B" w:rsidRDefault="00F14994" w:rsidP="00BF6DA8">
      <w:pPr>
        <w:spacing w:line="540" w:lineRule="exact"/>
        <w:ind w:firstLineChars="200" w:firstLine="643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lastRenderedPageBreak/>
        <w:t>三、预算执行时间</w:t>
      </w:r>
    </w:p>
    <w:p w:rsidR="00B14A6B" w:rsidRDefault="00F14994" w:rsidP="00BF6DA8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除教科研经费按项目批复年限支出外，其他预算安排支出，一般于2022年11月底完成支付，特殊情况原则上不得迟于2022年12月底完成支付。</w:t>
      </w:r>
    </w:p>
    <w:p w:rsidR="00B14A6B" w:rsidRDefault="00F14994" w:rsidP="00BF6DA8">
      <w:pPr>
        <w:numPr>
          <w:ilvl w:val="0"/>
          <w:numId w:val="1"/>
        </w:numPr>
        <w:spacing w:line="540" w:lineRule="exact"/>
        <w:ind w:firstLineChars="200" w:firstLine="643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预算指标分配内容</w:t>
      </w:r>
    </w:p>
    <w:p w:rsidR="00B14A6B" w:rsidRDefault="00F14994" w:rsidP="00BF6DA8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具体指标分配说明见附件。</w:t>
      </w:r>
    </w:p>
    <w:p w:rsidR="00B14A6B" w:rsidRDefault="00F14994" w:rsidP="00BF6DA8">
      <w:pPr>
        <w:numPr>
          <w:ilvl w:val="0"/>
          <w:numId w:val="1"/>
        </w:numPr>
        <w:spacing w:line="540" w:lineRule="exact"/>
        <w:ind w:firstLineChars="200" w:firstLine="643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预算执行措施</w:t>
      </w:r>
    </w:p>
    <w:p w:rsidR="00B14A6B" w:rsidRDefault="00F14994" w:rsidP="00BF6DA8">
      <w:pPr>
        <w:spacing w:line="540" w:lineRule="exact"/>
        <w:ind w:firstLineChars="200" w:firstLine="643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b/>
          <w:bCs/>
          <w:sz w:val="32"/>
          <w:szCs w:val="32"/>
        </w:rPr>
        <w:t>（一）依法预算，提高预算刚性。</w:t>
      </w:r>
      <w:r>
        <w:rPr>
          <w:rFonts w:ascii="仿宋_GB2312" w:eastAsia="仿宋_GB2312" w:hAnsi="仿宋" w:hint="eastAsia"/>
          <w:sz w:val="32"/>
          <w:szCs w:val="32"/>
        </w:rPr>
        <w:t>依据《预算法》，贯彻《预算法实施条例》，做到“先有预算后有支出，未列入预算不得支出”。《预算法实施条例》细化了对各部门的职责分工相关要求，关键是强化各部门预算执行主体地位。学院各部门主要负责人要对本部门预算管理负总责，要建立主要领导亲自抓，分管领导具体管，相关人员各负其责的责任体系，要一级抓一级，层层抓落实。各部门需要确定一名财务负责人和财务联络员，压实责任，强化预算</w:t>
      </w:r>
      <w:r w:rsidR="008462B1">
        <w:rPr>
          <w:rFonts w:ascii="仿宋_GB2312" w:eastAsia="仿宋_GB2312" w:hAnsi="仿宋" w:hint="eastAsia"/>
          <w:sz w:val="32"/>
          <w:szCs w:val="32"/>
        </w:rPr>
        <w:t>执行</w:t>
      </w:r>
      <w:r>
        <w:rPr>
          <w:rFonts w:ascii="仿宋_GB2312" w:eastAsia="仿宋_GB2312" w:hAnsi="仿宋" w:hint="eastAsia"/>
          <w:sz w:val="32"/>
          <w:szCs w:val="32"/>
        </w:rPr>
        <w:t>。</w:t>
      </w:r>
    </w:p>
    <w:p w:rsidR="00B14A6B" w:rsidRDefault="00F14994" w:rsidP="00BF6DA8">
      <w:pPr>
        <w:spacing w:line="540" w:lineRule="exact"/>
        <w:ind w:firstLineChars="200" w:firstLine="643"/>
        <w:rPr>
          <w:rFonts w:ascii="仿宋_GB2312" w:eastAsia="仿宋_GB2312" w:hAnsiTheme="majorEastAsia"/>
          <w:sz w:val="32"/>
          <w:szCs w:val="32"/>
        </w:rPr>
      </w:pPr>
      <w:r>
        <w:rPr>
          <w:rFonts w:ascii="仿宋_GB2312" w:eastAsia="仿宋_GB2312" w:hAnsi="黑体" w:hint="eastAsia"/>
          <w:b/>
          <w:bCs/>
          <w:sz w:val="32"/>
          <w:szCs w:val="32"/>
        </w:rPr>
        <w:t>（二）定期通报，加快支付进度。</w:t>
      </w:r>
      <w:r>
        <w:rPr>
          <w:rFonts w:ascii="仿宋_GB2312" w:eastAsia="仿宋_GB2312" w:hAnsiTheme="majorEastAsia" w:hint="eastAsia"/>
          <w:sz w:val="32"/>
          <w:szCs w:val="32"/>
        </w:rPr>
        <w:t>健全定期通报机制，规范执行情况分析，加强预算资金监管。行财处要认真做好国库支付动态监测和预算执行情况分析，做到数据准确、报送及时，定期通报。各单位、部门要高度关注通报结果，及时知晓情况，推进工作进程，督促资金支付。</w:t>
      </w:r>
    </w:p>
    <w:p w:rsidR="00B14A6B" w:rsidRDefault="00F14994" w:rsidP="00BF6DA8">
      <w:pPr>
        <w:spacing w:line="540" w:lineRule="exact"/>
        <w:ind w:firstLineChars="200" w:firstLine="643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b/>
          <w:bCs/>
          <w:sz w:val="32"/>
          <w:szCs w:val="32"/>
        </w:rPr>
        <w:t>（三）宣传指导，透明公开预算。</w:t>
      </w:r>
      <w:r>
        <w:rPr>
          <w:rFonts w:ascii="仿宋_GB2312" w:eastAsia="仿宋_GB2312" w:hAnsi="黑体" w:hint="eastAsia"/>
          <w:sz w:val="32"/>
          <w:szCs w:val="32"/>
        </w:rPr>
        <w:t>行财处要明晰预算执行分解指标的指导说明，加强与单位、部门的沟通，适时开展对各部门财务报销人员的业务培训，</w:t>
      </w:r>
      <w:proofErr w:type="gramStart"/>
      <w:r>
        <w:rPr>
          <w:rFonts w:ascii="仿宋_GB2312" w:eastAsia="仿宋_GB2312" w:hAnsi="黑体" w:hint="eastAsia"/>
          <w:sz w:val="32"/>
          <w:szCs w:val="32"/>
        </w:rPr>
        <w:t>让预算</w:t>
      </w:r>
      <w:proofErr w:type="gramEnd"/>
      <w:r>
        <w:rPr>
          <w:rFonts w:ascii="仿宋_GB2312" w:eastAsia="仿宋_GB2312" w:hAnsi="黑体" w:hint="eastAsia"/>
          <w:sz w:val="32"/>
          <w:szCs w:val="32"/>
        </w:rPr>
        <w:t>简明化，在规范化的前提下，</w:t>
      </w:r>
      <w:r w:rsidR="008462B1">
        <w:rPr>
          <w:rFonts w:ascii="仿宋_GB2312" w:eastAsia="仿宋_GB2312" w:hAnsi="黑体" w:hint="eastAsia"/>
          <w:sz w:val="32"/>
          <w:szCs w:val="32"/>
        </w:rPr>
        <w:t>实行“归口管理、分级授权、逐级审核”，落实部门负责人（5</w:t>
      </w:r>
      <w:r w:rsidR="008462B1">
        <w:rPr>
          <w:rFonts w:ascii="仿宋_GB2312" w:eastAsia="仿宋_GB2312" w:hAnsi="黑体"/>
          <w:sz w:val="32"/>
          <w:szCs w:val="32"/>
        </w:rPr>
        <w:t>000</w:t>
      </w:r>
      <w:r w:rsidR="008462B1">
        <w:rPr>
          <w:rFonts w:ascii="仿宋_GB2312" w:eastAsia="仿宋_GB2312" w:hAnsi="黑体" w:hint="eastAsia"/>
          <w:sz w:val="32"/>
          <w:szCs w:val="32"/>
        </w:rPr>
        <w:t>元</w:t>
      </w:r>
      <w:r w:rsidR="00BF6DA8">
        <w:rPr>
          <w:rFonts w:ascii="仿宋_GB2312" w:eastAsia="仿宋_GB2312" w:hAnsi="黑体" w:hint="eastAsia"/>
          <w:sz w:val="32"/>
          <w:szCs w:val="32"/>
        </w:rPr>
        <w:t>及</w:t>
      </w:r>
      <w:r w:rsidR="008462B1">
        <w:rPr>
          <w:rFonts w:ascii="仿宋_GB2312" w:eastAsia="仿宋_GB2312" w:hAnsi="黑体" w:hint="eastAsia"/>
          <w:sz w:val="32"/>
          <w:szCs w:val="32"/>
        </w:rPr>
        <w:t>以下）和分管领导</w:t>
      </w:r>
      <w:r w:rsidR="00BF6DA8">
        <w:rPr>
          <w:rFonts w:ascii="仿宋_GB2312" w:eastAsia="仿宋_GB2312" w:hAnsi="黑体" w:hint="eastAsia"/>
          <w:sz w:val="32"/>
          <w:szCs w:val="32"/>
        </w:rPr>
        <w:t>（5</w:t>
      </w:r>
      <w:r w:rsidR="00BF6DA8">
        <w:rPr>
          <w:rFonts w:ascii="仿宋_GB2312" w:eastAsia="仿宋_GB2312" w:hAnsi="黑体"/>
          <w:sz w:val="32"/>
          <w:szCs w:val="32"/>
        </w:rPr>
        <w:t>000</w:t>
      </w:r>
      <w:r w:rsidR="00BF6DA8">
        <w:rPr>
          <w:rFonts w:ascii="仿宋_GB2312" w:eastAsia="仿宋_GB2312" w:hAnsi="黑体" w:hint="eastAsia"/>
          <w:sz w:val="32"/>
          <w:szCs w:val="32"/>
        </w:rPr>
        <w:t>元以上）</w:t>
      </w:r>
      <w:r w:rsidR="008462B1">
        <w:rPr>
          <w:rFonts w:ascii="仿宋_GB2312" w:eastAsia="仿宋_GB2312" w:hAnsi="黑体" w:hint="eastAsia"/>
          <w:sz w:val="32"/>
          <w:szCs w:val="32"/>
        </w:rPr>
        <w:lastRenderedPageBreak/>
        <w:t>审批权责一致机制，</w:t>
      </w:r>
      <w:r w:rsidR="00BF6DA8">
        <w:rPr>
          <w:rFonts w:ascii="仿宋_GB2312" w:eastAsia="仿宋_GB2312" w:hAnsi="黑体" w:hint="eastAsia"/>
          <w:sz w:val="32"/>
          <w:szCs w:val="32"/>
        </w:rPr>
        <w:t>按照有预算资金安排不重复审批原则，</w:t>
      </w:r>
      <w:r>
        <w:rPr>
          <w:rFonts w:ascii="仿宋_GB2312" w:eastAsia="仿宋_GB2312" w:hAnsi="黑体" w:hint="eastAsia"/>
          <w:sz w:val="32"/>
          <w:szCs w:val="32"/>
        </w:rPr>
        <w:t>逐步做到报销便捷化。</w:t>
      </w:r>
    </w:p>
    <w:p w:rsidR="00B14A6B" w:rsidRDefault="00F14994" w:rsidP="00BF6DA8">
      <w:pPr>
        <w:spacing w:line="540" w:lineRule="exact"/>
        <w:ind w:firstLineChars="200" w:firstLine="643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b/>
          <w:bCs/>
          <w:sz w:val="32"/>
          <w:szCs w:val="32"/>
        </w:rPr>
        <w:t>（四）绩效管理，全程跟踪问效。</w:t>
      </w:r>
      <w:r>
        <w:rPr>
          <w:rFonts w:ascii="仿宋_GB2312" w:eastAsia="仿宋_GB2312" w:hAnsi="黑体" w:hint="eastAsia"/>
          <w:sz w:val="32"/>
          <w:szCs w:val="32"/>
        </w:rPr>
        <w:t>严格落实预算绩效管理制度，不断提高财政资金使用效率，切实做到“花钱必问效，无效必问责”。</w:t>
      </w:r>
    </w:p>
    <w:p w:rsidR="00B14A6B" w:rsidRDefault="00F14994" w:rsidP="00BF6DA8">
      <w:pPr>
        <w:spacing w:line="540" w:lineRule="exact"/>
        <w:ind w:firstLineChars="200" w:firstLine="643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b/>
          <w:bCs/>
          <w:sz w:val="32"/>
          <w:szCs w:val="32"/>
        </w:rPr>
        <w:t>（五）严格奖惩，强化问责机制。</w:t>
      </w:r>
      <w:r>
        <w:rPr>
          <w:rFonts w:ascii="仿宋_GB2312" w:eastAsia="仿宋_GB2312" w:hAnsi="黑体" w:hint="eastAsia"/>
          <w:sz w:val="32"/>
          <w:szCs w:val="32"/>
        </w:rPr>
        <w:t>一是建立约谈机制。对预算执行慢的单位或部门，尤其是项目执行进度排名持续靠后的，适时启动约谈。二是结余资金收回。对于各单位执行预算指标安排的资金，11月底不能完成序时进度的，将依照程序调剂到急需部门使用。对于当年财政安排的基本支出结余，以及两年不能支付的项目结转资金，财政部门将全部予以收回。三是注重预算执行结果运用。与资金分配相挂钩，将预算执行结果，尤其是项目资金支付进度，与下一年资金安排相挂钩，支付进度慢的单位，相应压缩下年预算安排规模。四是加强财务监管。行财处要建立动态监测机制，严格财务审核把关，加强财经纪律和财政政策宣传，严格财务管理。各单位、部门要规范支出管理，防止发生年底突击花钱行为，杜绝不合</w:t>
      </w:r>
      <w:proofErr w:type="gramStart"/>
      <w:r>
        <w:rPr>
          <w:rFonts w:ascii="仿宋_GB2312" w:eastAsia="仿宋_GB2312" w:hAnsi="黑体" w:hint="eastAsia"/>
          <w:sz w:val="32"/>
          <w:szCs w:val="32"/>
        </w:rPr>
        <w:t>规</w:t>
      </w:r>
      <w:proofErr w:type="gramEnd"/>
      <w:r>
        <w:rPr>
          <w:rFonts w:ascii="仿宋_GB2312" w:eastAsia="仿宋_GB2312" w:hAnsi="黑体" w:hint="eastAsia"/>
          <w:sz w:val="32"/>
          <w:szCs w:val="32"/>
        </w:rPr>
        <w:t>不合理支付。学院将强化问责机制建设，倒查责任，对有关违法违规情形终身问责，确保各项预算执行管理政策有效落实。</w:t>
      </w:r>
    </w:p>
    <w:p w:rsidR="00B14A6B" w:rsidRDefault="00B14A6B" w:rsidP="00BF6DA8">
      <w:pPr>
        <w:spacing w:line="54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</w:p>
    <w:p w:rsidR="0076220E" w:rsidRDefault="00F14994" w:rsidP="0076220E">
      <w:pPr>
        <w:spacing w:line="54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 xml:space="preserve">附件 </w:t>
      </w:r>
      <w:r w:rsidR="0076220E">
        <w:rPr>
          <w:rFonts w:ascii="仿宋_GB2312" w:eastAsia="仿宋_GB2312" w:hAnsi="黑体"/>
          <w:sz w:val="32"/>
          <w:szCs w:val="32"/>
        </w:rPr>
        <w:t>1.</w:t>
      </w:r>
      <w:r>
        <w:rPr>
          <w:rFonts w:ascii="仿宋_GB2312" w:eastAsia="仿宋_GB2312" w:hAnsi="黑体" w:hint="eastAsia"/>
          <w:sz w:val="32"/>
          <w:szCs w:val="32"/>
        </w:rPr>
        <w:t>2022年学院预算执行分解有关指标说明</w:t>
      </w:r>
    </w:p>
    <w:p w:rsidR="0076220E" w:rsidRDefault="0076220E" w:rsidP="0076220E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</w:t>
      </w:r>
      <w:r>
        <w:rPr>
          <w:rFonts w:ascii="仿宋_GB2312" w:eastAsia="仿宋_GB2312" w:hAnsi="仿宋"/>
          <w:sz w:val="32"/>
          <w:szCs w:val="32"/>
        </w:rPr>
        <w:t xml:space="preserve">    2.</w:t>
      </w:r>
      <w:r w:rsidRPr="0076220E">
        <w:rPr>
          <w:rFonts w:ascii="仿宋_GB2312" w:eastAsia="仿宋_GB2312" w:hAnsi="仿宋" w:hint="eastAsia"/>
          <w:sz w:val="32"/>
          <w:szCs w:val="32"/>
        </w:rPr>
        <w:t>学院2022年各单位、部门预算执行分解一览表</w:t>
      </w:r>
    </w:p>
    <w:p w:rsidR="00B14A6B" w:rsidRDefault="00F14994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</w:t>
      </w:r>
    </w:p>
    <w:sectPr w:rsidR="00B14A6B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449D" w:rsidRDefault="002C449D">
      <w:r>
        <w:separator/>
      </w:r>
    </w:p>
  </w:endnote>
  <w:endnote w:type="continuationSeparator" w:id="0">
    <w:p w:rsidR="002C449D" w:rsidRDefault="002C4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A6B" w:rsidRDefault="00F14994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14A6B" w:rsidRDefault="00F14994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    <v:textbox style="mso-fit-shape-to-text:t" inset="0,0,0,0">
                <w:txbxContent>
                  <w:p w:rsidR="00B14A6B" w:rsidRDefault="00F14994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449D" w:rsidRDefault="002C449D">
      <w:r>
        <w:separator/>
      </w:r>
    </w:p>
  </w:footnote>
  <w:footnote w:type="continuationSeparator" w:id="0">
    <w:p w:rsidR="002C449D" w:rsidRDefault="002C44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6BF7826"/>
    <w:multiLevelType w:val="singleLevel"/>
    <w:tmpl w:val="B6BF7826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5A6"/>
    <w:rsid w:val="000471AA"/>
    <w:rsid w:val="00064808"/>
    <w:rsid w:val="00066A9D"/>
    <w:rsid w:val="00147363"/>
    <w:rsid w:val="00172278"/>
    <w:rsid w:val="001765EB"/>
    <w:rsid w:val="0017764E"/>
    <w:rsid w:val="00195BB3"/>
    <w:rsid w:val="001D7701"/>
    <w:rsid w:val="00224A86"/>
    <w:rsid w:val="0023148A"/>
    <w:rsid w:val="00261166"/>
    <w:rsid w:val="002C4275"/>
    <w:rsid w:val="002C449D"/>
    <w:rsid w:val="00300DA9"/>
    <w:rsid w:val="003427BD"/>
    <w:rsid w:val="003435E9"/>
    <w:rsid w:val="003E30F0"/>
    <w:rsid w:val="003F7C87"/>
    <w:rsid w:val="004235A6"/>
    <w:rsid w:val="00460F06"/>
    <w:rsid w:val="00471253"/>
    <w:rsid w:val="004730A5"/>
    <w:rsid w:val="0048199F"/>
    <w:rsid w:val="00484450"/>
    <w:rsid w:val="005111CB"/>
    <w:rsid w:val="005509E2"/>
    <w:rsid w:val="0056208C"/>
    <w:rsid w:val="00566913"/>
    <w:rsid w:val="00577236"/>
    <w:rsid w:val="0058037A"/>
    <w:rsid w:val="005917C5"/>
    <w:rsid w:val="00593916"/>
    <w:rsid w:val="005B0759"/>
    <w:rsid w:val="005C7946"/>
    <w:rsid w:val="005E5171"/>
    <w:rsid w:val="005E547B"/>
    <w:rsid w:val="006138F5"/>
    <w:rsid w:val="00641214"/>
    <w:rsid w:val="00643781"/>
    <w:rsid w:val="006D3C4E"/>
    <w:rsid w:val="00735D05"/>
    <w:rsid w:val="0076220E"/>
    <w:rsid w:val="00773D0B"/>
    <w:rsid w:val="00774B6B"/>
    <w:rsid w:val="007810A3"/>
    <w:rsid w:val="0079643E"/>
    <w:rsid w:val="007B0709"/>
    <w:rsid w:val="007D664D"/>
    <w:rsid w:val="008044C4"/>
    <w:rsid w:val="0082068A"/>
    <w:rsid w:val="00825515"/>
    <w:rsid w:val="00844500"/>
    <w:rsid w:val="008455A4"/>
    <w:rsid w:val="008462B1"/>
    <w:rsid w:val="00851646"/>
    <w:rsid w:val="00874434"/>
    <w:rsid w:val="008A5E2F"/>
    <w:rsid w:val="008C40AE"/>
    <w:rsid w:val="008C5428"/>
    <w:rsid w:val="008D48B2"/>
    <w:rsid w:val="0092338C"/>
    <w:rsid w:val="009533A9"/>
    <w:rsid w:val="00972D00"/>
    <w:rsid w:val="009A62CF"/>
    <w:rsid w:val="009F3DD0"/>
    <w:rsid w:val="00A4118A"/>
    <w:rsid w:val="00B025B3"/>
    <w:rsid w:val="00B14A6B"/>
    <w:rsid w:val="00B258B7"/>
    <w:rsid w:val="00B6271A"/>
    <w:rsid w:val="00B75D10"/>
    <w:rsid w:val="00B824EA"/>
    <w:rsid w:val="00B96214"/>
    <w:rsid w:val="00BB2BB4"/>
    <w:rsid w:val="00BE47C6"/>
    <w:rsid w:val="00BE5CD5"/>
    <w:rsid w:val="00BF6DA8"/>
    <w:rsid w:val="00C43665"/>
    <w:rsid w:val="00C8492D"/>
    <w:rsid w:val="00D53A5C"/>
    <w:rsid w:val="00D8449C"/>
    <w:rsid w:val="00D90214"/>
    <w:rsid w:val="00DE6BEA"/>
    <w:rsid w:val="00E24338"/>
    <w:rsid w:val="00E24D3E"/>
    <w:rsid w:val="00E252C8"/>
    <w:rsid w:val="00E5593A"/>
    <w:rsid w:val="00EE18E4"/>
    <w:rsid w:val="00EE1F5D"/>
    <w:rsid w:val="00F14994"/>
    <w:rsid w:val="00F34D9A"/>
    <w:rsid w:val="00F84291"/>
    <w:rsid w:val="00FB0988"/>
    <w:rsid w:val="02F82FA4"/>
    <w:rsid w:val="21457CA7"/>
    <w:rsid w:val="3E2E54F7"/>
    <w:rsid w:val="590F2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8E3900"/>
  <w15:docId w15:val="{9CDCA6C6-C618-4A34-91C8-5746BC14E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等线" w:eastAsia="等线" w:hAnsi="等线" w:cs="等线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qFormat/>
    <w:locked/>
    <w:pPr>
      <w:spacing w:beforeAutospacing="1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locked/>
    <w:rPr>
      <w:rFonts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locked/>
    <w:rPr>
      <w:rFonts w:cs="Times New Roman"/>
      <w:sz w:val="18"/>
      <w:szCs w:val="18"/>
    </w:rPr>
  </w:style>
  <w:style w:type="paragraph" w:styleId="a7">
    <w:name w:val="List Paragraph"/>
    <w:basedOn w:val="a"/>
    <w:uiPriority w:val="99"/>
    <w:qFormat/>
    <w:pPr>
      <w:ind w:firstLineChars="200" w:firstLine="420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Theme="minorHAnsi" w:cs="宋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61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350</Words>
  <Characters>1998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谷银平</dc:creator>
  <cp:lastModifiedBy>洪壮志</cp:lastModifiedBy>
  <cp:revision>8</cp:revision>
  <cp:lastPrinted>2021-03-24T07:58:00Z</cp:lastPrinted>
  <dcterms:created xsi:type="dcterms:W3CDTF">2021-03-30T06:35:00Z</dcterms:created>
  <dcterms:modified xsi:type="dcterms:W3CDTF">2022-04-22T03:35:00Z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